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454E" w14:textId="130C064F" w:rsidR="00117480" w:rsidRDefault="00000000">
      <w:pPr>
        <w:pBdr>
          <w:top w:val="nil"/>
          <w:left w:val="nil"/>
          <w:bottom w:val="nil"/>
          <w:right w:val="nil"/>
          <w:between w:val="nil"/>
        </w:pBdr>
        <w:spacing w:after="0" w:line="240" w:lineRule="auto"/>
        <w:rPr>
          <w:rFonts w:ascii="Georgia" w:eastAsia="Georgia" w:hAnsi="Georgia" w:cs="Georgia"/>
          <w:color w:val="09658B"/>
          <w:sz w:val="36"/>
          <w:szCs w:val="36"/>
        </w:rPr>
      </w:pPr>
      <w:r>
        <w:rPr>
          <w:rFonts w:ascii="Georgia" w:eastAsia="Georgia" w:hAnsi="Georgia" w:cs="Georgia"/>
          <w:color w:val="09658B"/>
          <w:sz w:val="36"/>
          <w:szCs w:val="36"/>
        </w:rPr>
        <w:t xml:space="preserve">SAMPLE LOCAL POLICY: </w:t>
      </w:r>
    </w:p>
    <w:p w14:paraId="1EB4898F" w14:textId="77777777" w:rsidR="00117480" w:rsidRDefault="00000000">
      <w:pPr>
        <w:pBdr>
          <w:top w:val="nil"/>
          <w:left w:val="nil"/>
          <w:bottom w:val="nil"/>
          <w:right w:val="nil"/>
          <w:between w:val="nil"/>
        </w:pBdr>
        <w:spacing w:after="0" w:line="240" w:lineRule="auto"/>
        <w:rPr>
          <w:rFonts w:ascii="Georgia" w:eastAsia="Georgia" w:hAnsi="Georgia" w:cs="Georgia"/>
          <w:color w:val="09658B"/>
          <w:sz w:val="36"/>
          <w:szCs w:val="36"/>
        </w:rPr>
      </w:pPr>
      <w:r>
        <w:rPr>
          <w:rFonts w:ascii="Georgia" w:eastAsia="Georgia" w:hAnsi="Georgia" w:cs="Georgia"/>
          <w:color w:val="09658B"/>
          <w:sz w:val="36"/>
          <w:szCs w:val="36"/>
        </w:rPr>
        <w:t xml:space="preserve">NATIONAL SCHOOL BREAKFAST WEEK </w:t>
      </w:r>
    </w:p>
    <w:p w14:paraId="0F0E0171" w14:textId="77777777" w:rsidR="00117480" w:rsidRDefault="00000000">
      <w:pPr>
        <w:pBdr>
          <w:top w:val="nil"/>
          <w:left w:val="nil"/>
          <w:bottom w:val="nil"/>
          <w:right w:val="nil"/>
          <w:between w:val="nil"/>
        </w:pBdr>
        <w:spacing w:after="0" w:line="240" w:lineRule="auto"/>
        <w:rPr>
          <w:rFonts w:ascii="Georgia" w:eastAsia="Georgia" w:hAnsi="Georgia" w:cs="Georgia"/>
          <w:color w:val="F16700"/>
          <w:sz w:val="36"/>
          <w:szCs w:val="36"/>
        </w:rPr>
      </w:pPr>
      <w:r>
        <w:rPr>
          <w:rFonts w:ascii="Georgia" w:eastAsia="Georgia" w:hAnsi="Georgia" w:cs="Georgia"/>
          <w:color w:val="09658B"/>
          <w:sz w:val="36"/>
          <w:szCs w:val="36"/>
        </w:rPr>
        <w:t xml:space="preserve">MAYORAL PROCLAMATION </w:t>
      </w:r>
    </w:p>
    <w:p w14:paraId="2759F6A6" w14:textId="77777777" w:rsidR="00117480" w:rsidRDefault="00000000">
      <w:pPr>
        <w:pBdr>
          <w:top w:val="nil"/>
          <w:left w:val="nil"/>
          <w:bottom w:val="nil"/>
          <w:right w:val="nil"/>
          <w:between w:val="nil"/>
        </w:pBdr>
        <w:spacing w:after="0" w:line="240" w:lineRule="auto"/>
        <w:rPr>
          <w:rFonts w:ascii="Georgia" w:eastAsia="Georgia" w:hAnsi="Georgia" w:cs="Georgia"/>
          <w:color w:val="F16700"/>
          <w:sz w:val="24"/>
          <w:szCs w:val="24"/>
        </w:rPr>
      </w:pPr>
      <w:r>
        <w:pict w14:anchorId="543A5B27">
          <v:rect id="_x0000_i1025" style="width:0;height:1.5pt" o:hralign="center" o:hrstd="t" o:hr="t" fillcolor="#a0a0a0" stroked="f"/>
        </w:pict>
      </w:r>
    </w:p>
    <w:p w14:paraId="41580F0A"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23E90E81" w14:textId="2A2F076A" w:rsidR="004A1738" w:rsidRDefault="004A1738" w:rsidP="004A1738">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t>INTRODUCTION</w:t>
      </w:r>
    </w:p>
    <w:p w14:paraId="77A584EA" w14:textId="77777777" w:rsidR="004A1738" w:rsidRDefault="004A1738">
      <w:pPr>
        <w:pBdr>
          <w:top w:val="nil"/>
          <w:left w:val="nil"/>
          <w:bottom w:val="nil"/>
          <w:right w:val="nil"/>
          <w:between w:val="nil"/>
        </w:pBdr>
        <w:spacing w:after="0" w:line="240" w:lineRule="auto"/>
      </w:pPr>
    </w:p>
    <w:p w14:paraId="418AFB9F" w14:textId="7D3865C7" w:rsidR="00117480" w:rsidRDefault="00117480">
      <w:pPr>
        <w:pBdr>
          <w:top w:val="nil"/>
          <w:left w:val="nil"/>
          <w:bottom w:val="nil"/>
          <w:right w:val="nil"/>
          <w:between w:val="nil"/>
        </w:pBdr>
        <w:spacing w:after="0" w:line="240" w:lineRule="auto"/>
        <w:rPr>
          <w:rFonts w:ascii="Georgia" w:eastAsia="Georgia" w:hAnsi="Georgia" w:cs="Georgia"/>
          <w:color w:val="000000"/>
        </w:rPr>
      </w:pPr>
      <w:hyperlink r:id="rId8">
        <w:r>
          <w:rPr>
            <w:rFonts w:ascii="Georgia" w:eastAsia="Georgia" w:hAnsi="Georgia" w:cs="Georgia"/>
            <w:color w:val="0563C1"/>
            <w:u w:val="single"/>
          </w:rPr>
          <w:t>National School Breakfast Week</w:t>
        </w:r>
      </w:hyperlink>
      <w:r>
        <w:rPr>
          <w:rFonts w:ascii="Georgia" w:eastAsia="Georgia" w:hAnsi="Georgia" w:cs="Georgia"/>
          <w:color w:val="0462C1"/>
        </w:rPr>
        <w:t xml:space="preserve"> </w:t>
      </w:r>
      <w:r>
        <w:rPr>
          <w:rFonts w:ascii="Georgia" w:eastAsia="Georgia" w:hAnsi="Georgia" w:cs="Georgia"/>
          <w:color w:val="000000"/>
        </w:rPr>
        <w:t xml:space="preserve">is an annual opportunity to </w:t>
      </w:r>
      <w:r w:rsidR="00A66CE2">
        <w:rPr>
          <w:rFonts w:ascii="Georgia" w:eastAsia="Georgia" w:hAnsi="Georgia" w:cs="Georgia"/>
          <w:color w:val="000000"/>
        </w:rPr>
        <w:t xml:space="preserve">highlight and </w:t>
      </w:r>
      <w:r>
        <w:rPr>
          <w:rFonts w:ascii="Georgia" w:eastAsia="Georgia" w:hAnsi="Georgia" w:cs="Georgia"/>
          <w:color w:val="000000"/>
        </w:rPr>
        <w:t xml:space="preserve">promote the success of school breakfast programs in communities across the country. State and local lawmakers and advocates can draw attention to and provide public support for school breakfast programs and the events surrounding National School Breakfast Week. </w:t>
      </w:r>
    </w:p>
    <w:p w14:paraId="0BE3E585"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686B9A8C" w14:textId="77777777" w:rsidR="00AD4204"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 xml:space="preserve">This resource provides local policymakers and advocates with sample language to use in a Mayoral School Breakfast Proclamation. Consult the </w:t>
      </w:r>
      <w:hyperlink r:id="rId9">
        <w:r w:rsidR="00117480">
          <w:rPr>
            <w:rFonts w:ascii="Georgia" w:eastAsia="Georgia" w:hAnsi="Georgia" w:cs="Georgia"/>
            <w:i/>
            <w:color w:val="0563C1"/>
            <w:u w:val="single"/>
          </w:rPr>
          <w:t>Companion Guide</w:t>
        </w:r>
      </w:hyperlink>
      <w:r>
        <w:rPr>
          <w:rFonts w:ascii="Georgia" w:eastAsia="Georgia" w:hAnsi="Georgia" w:cs="Georgia"/>
          <w:i/>
          <w:color w:val="000000"/>
        </w:rPr>
        <w:t xml:space="preserve"> </w:t>
      </w:r>
      <w:r>
        <w:rPr>
          <w:rFonts w:ascii="Georgia" w:eastAsia="Georgia" w:hAnsi="Georgia" w:cs="Georgia"/>
          <w:color w:val="000000"/>
        </w:rPr>
        <w:t>[</w:t>
      </w:r>
      <w:r w:rsidR="0092496E" w:rsidRPr="0092496E">
        <w:rPr>
          <w:rFonts w:ascii="Georgia" w:hAnsi="Georgia" w:cs="Arial"/>
        </w:rPr>
        <w:t>https://bestpractices.nokidhungry.org/resource/national-school-breakfast-week-sample-mayoral-proclamation</w:t>
      </w:r>
      <w:r>
        <w:rPr>
          <w:rFonts w:ascii="Georgia" w:eastAsia="Georgia" w:hAnsi="Georgia" w:cs="Georgia"/>
          <w:color w:val="000000"/>
        </w:rPr>
        <w:t xml:space="preserve">] for instructions and data to complete the state-specific information included in the proclamation. </w:t>
      </w:r>
    </w:p>
    <w:p w14:paraId="50878225" w14:textId="77777777" w:rsidR="00AD4204" w:rsidRDefault="00AD4204">
      <w:pPr>
        <w:pBdr>
          <w:top w:val="nil"/>
          <w:left w:val="nil"/>
          <w:bottom w:val="nil"/>
          <w:right w:val="nil"/>
          <w:between w:val="nil"/>
        </w:pBdr>
        <w:spacing w:after="0" w:line="240" w:lineRule="auto"/>
        <w:rPr>
          <w:rFonts w:ascii="Georgia" w:eastAsia="Georgia" w:hAnsi="Georgia" w:cs="Georgia"/>
          <w:color w:val="000000"/>
        </w:rPr>
      </w:pPr>
    </w:p>
    <w:p w14:paraId="40E8E23A" w14:textId="4986D09C" w:rsidR="00117480" w:rsidRDefault="000F624C">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 xml:space="preserve">In addition, select from two options based on whether your state has enacted </w:t>
      </w:r>
      <w:r w:rsidR="00B0684D">
        <w:rPr>
          <w:rFonts w:ascii="Georgia" w:eastAsia="Georgia" w:hAnsi="Georgia" w:cs="Georgia"/>
          <w:color w:val="000000"/>
        </w:rPr>
        <w:t>or is considering Healthy School Meals for All</w:t>
      </w:r>
      <w:r w:rsidR="00B0684D">
        <w:rPr>
          <w:rFonts w:ascii="Georgia" w:eastAsia="Georgia" w:hAnsi="Georgia" w:cs="Georgia"/>
          <w:color w:val="000000"/>
        </w:rPr>
        <w:t>.</w:t>
      </w:r>
      <w:r w:rsidR="00B0684D">
        <w:rPr>
          <w:rFonts w:ascii="Georgia" w:eastAsia="Georgia" w:hAnsi="Georgia" w:cs="Georgia"/>
          <w:color w:val="000000"/>
        </w:rPr>
        <w:t xml:space="preserve"> </w:t>
      </w:r>
      <w:r>
        <w:rPr>
          <w:rFonts w:ascii="Georgia" w:eastAsia="Georgia" w:hAnsi="Georgia" w:cs="Georgia"/>
          <w:color w:val="000000"/>
        </w:rPr>
        <w:t xml:space="preserve">(CA, CO, </w:t>
      </w:r>
      <w:r w:rsidR="00AD4204">
        <w:rPr>
          <w:rFonts w:ascii="Georgia" w:eastAsia="Georgia" w:hAnsi="Georgia" w:cs="Georgia"/>
          <w:color w:val="000000"/>
        </w:rPr>
        <w:t xml:space="preserve">MA, </w:t>
      </w:r>
      <w:r>
        <w:rPr>
          <w:rFonts w:ascii="Georgia" w:eastAsia="Georgia" w:hAnsi="Georgia" w:cs="Georgia"/>
          <w:color w:val="000000"/>
        </w:rPr>
        <w:t>ME, MI, MN, NM, VT</w:t>
      </w:r>
      <w:r w:rsidR="00B0684D">
        <w:rPr>
          <w:rFonts w:ascii="Georgia" w:eastAsia="Georgia" w:hAnsi="Georgia" w:cs="Georgia"/>
          <w:color w:val="000000"/>
        </w:rPr>
        <w:t xml:space="preserve"> have enacted HSM4A; </w:t>
      </w:r>
      <w:r>
        <w:rPr>
          <w:rFonts w:ascii="Georgia" w:eastAsia="Georgia" w:hAnsi="Georgia" w:cs="Georgia"/>
          <w:color w:val="000000"/>
        </w:rPr>
        <w:t xml:space="preserve">see the </w:t>
      </w:r>
      <w:hyperlink r:id="rId10" w:history="1">
        <w:r w:rsidRPr="00AD4204">
          <w:rPr>
            <w:rStyle w:val="Hyperlink"/>
            <w:rFonts w:ascii="Georgia" w:eastAsia="Georgia" w:hAnsi="Georgia" w:cs="Georgia"/>
          </w:rPr>
          <w:t>No Kid Hungry State Legislation Dashboard</w:t>
        </w:r>
      </w:hyperlink>
      <w:r>
        <w:rPr>
          <w:rFonts w:ascii="Georgia" w:eastAsia="Georgia" w:hAnsi="Georgia" w:cs="Georgia"/>
          <w:color w:val="000000"/>
        </w:rPr>
        <w:t xml:space="preserve"> for a current listing</w:t>
      </w:r>
      <w:r w:rsidR="0086102C">
        <w:rPr>
          <w:rFonts w:ascii="Georgia" w:eastAsia="Georgia" w:hAnsi="Georgia" w:cs="Georgia"/>
          <w:color w:val="000000"/>
        </w:rPr>
        <w:t xml:space="preserve"> of bills</w:t>
      </w:r>
      <w:r>
        <w:rPr>
          <w:rFonts w:ascii="Georgia" w:eastAsia="Georgia" w:hAnsi="Georgia" w:cs="Georgia"/>
          <w:color w:val="000000"/>
        </w:rPr>
        <w:t xml:space="preserve">).   </w:t>
      </w:r>
    </w:p>
    <w:p w14:paraId="413BACC7"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296022BD"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68217B55" w14:textId="77777777" w:rsidR="00117480" w:rsidRDefault="00000000">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t xml:space="preserve">SAMPLE MAYORAL PROCLAMATION </w:t>
      </w:r>
    </w:p>
    <w:p w14:paraId="67856170"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2F805AB" w14:textId="4F7426C0"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 xml:space="preserve">WHEREAS, </w:t>
      </w:r>
      <w:r w:rsidR="00CE7F01" w:rsidRPr="00CE7F01">
        <w:rPr>
          <w:rFonts w:ascii="Georgia" w:eastAsia="Georgia" w:hAnsi="Georgia" w:cs="Georgia"/>
          <w:color w:val="000000"/>
        </w:rPr>
        <w:t>the School Breakfast Program (SBP), permanently established in 1975, provides nutritionally balanced breakfasts to more than 15 million children across 91,000 schools and institutions in the United States each day;</w:t>
      </w:r>
      <w:r w:rsidR="009811BA">
        <w:rPr>
          <w:rFonts w:ascii="Georgia" w:eastAsia="Georgia" w:hAnsi="Georgia" w:cs="Georgia"/>
          <w:color w:val="000000"/>
        </w:rPr>
        <w:t xml:space="preserve"> and</w:t>
      </w:r>
    </w:p>
    <w:p w14:paraId="7FFE2DE2"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55334338" w14:textId="02DC82B1"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the School Breakfast Program meets the nutritional needs of children, improves food security, and </w:t>
      </w:r>
      <w:r w:rsidR="004A1738" w:rsidRPr="00CE7F01">
        <w:rPr>
          <w:rFonts w:ascii="Georgia" w:eastAsia="Georgia" w:hAnsi="Georgia" w:cs="Georgia"/>
          <w:color w:val="000000"/>
        </w:rPr>
        <w:t>promote</w:t>
      </w:r>
      <w:r w:rsidR="004A1738">
        <w:rPr>
          <w:rFonts w:ascii="Georgia" w:eastAsia="Georgia" w:hAnsi="Georgia" w:cs="Georgia"/>
          <w:color w:val="000000"/>
        </w:rPr>
        <w:t>s</w:t>
      </w:r>
      <w:r w:rsidR="004A1738" w:rsidRPr="00CE7F01">
        <w:rPr>
          <w:rFonts w:ascii="Georgia" w:eastAsia="Georgia" w:hAnsi="Georgia" w:cs="Georgia"/>
          <w:color w:val="000000"/>
        </w:rPr>
        <w:t xml:space="preserve"> health, learning, and development</w:t>
      </w:r>
      <w:r>
        <w:rPr>
          <w:rFonts w:ascii="Georgia" w:eastAsia="Georgia" w:hAnsi="Georgia" w:cs="Georgia"/>
          <w:color w:val="000000"/>
        </w:rPr>
        <w:t xml:space="preserve"> by providing nutritionally balanced breakfasts to school children each day;</w:t>
      </w:r>
      <w:r w:rsidR="00B760EF" w:rsidRPr="00B760EF">
        <w:rPr>
          <w:rFonts w:ascii="Georgia" w:eastAsia="Georgia" w:hAnsi="Georgia" w:cs="Georgia"/>
          <w:color w:val="000000"/>
          <w:vertAlign w:val="superscript"/>
        </w:rPr>
        <w:t xml:space="preserve"> </w:t>
      </w:r>
      <w:r w:rsidR="009811BA">
        <w:rPr>
          <w:rStyle w:val="EndnoteReference"/>
          <w:rFonts w:ascii="Georgia" w:eastAsia="Georgia" w:hAnsi="Georgia" w:cs="Georgia"/>
          <w:color w:val="000000"/>
        </w:rPr>
        <w:endnoteReference w:id="1"/>
      </w:r>
      <w:r>
        <w:rPr>
          <w:rFonts w:ascii="Georgia" w:eastAsia="Georgia" w:hAnsi="Georgia" w:cs="Georgia"/>
          <w:color w:val="000000"/>
          <w:vertAlign w:val="superscript"/>
        </w:rPr>
        <w:t xml:space="preserve"> </w:t>
      </w:r>
      <w:r>
        <w:rPr>
          <w:rFonts w:ascii="Georgia" w:eastAsia="Georgia" w:hAnsi="Georgia" w:cs="Georgia"/>
          <w:color w:val="000000"/>
        </w:rPr>
        <w:t>and</w:t>
      </w:r>
      <w:r w:rsidR="004A1738">
        <w:rPr>
          <w:rFonts w:ascii="Georgia" w:eastAsia="Georgia" w:hAnsi="Georgia" w:cs="Georgia"/>
          <w:color w:val="000000"/>
        </w:rPr>
        <w:t xml:space="preserve"> </w:t>
      </w:r>
      <w:r w:rsidR="004A1738" w:rsidRPr="00CE7F01">
        <w:rPr>
          <w:rFonts w:ascii="Georgia" w:eastAsia="Georgia" w:hAnsi="Georgia" w:cs="Georgia"/>
          <w:color w:val="000000"/>
        </w:rPr>
        <w:t xml:space="preserve">to </w:t>
      </w:r>
    </w:p>
    <w:p w14:paraId="2AA69F86"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49D9267" w14:textId="0A9F97DC" w:rsidR="009811BA"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w:t>
      </w:r>
      <w:r w:rsidR="00CE7F01">
        <w:rPr>
          <w:rFonts w:ascii="Georgia" w:eastAsia="Georgia" w:hAnsi="Georgia" w:cs="Georgia"/>
          <w:color w:val="000000"/>
        </w:rPr>
        <w:t>[</w:t>
      </w:r>
      <w:r w:rsidR="00CE7F01" w:rsidRPr="00CE7F01">
        <w:rPr>
          <w:rFonts w:ascii="Georgia" w:eastAsia="Georgia" w:hAnsi="Georgia" w:cs="Georgia"/>
          <w:color w:val="000000"/>
          <w:highlight w:val="yellow"/>
        </w:rPr>
        <w:t>PERCENT-COMPANION COLUMN B</w:t>
      </w:r>
      <w:r w:rsidR="00CE7F01">
        <w:rPr>
          <w:rFonts w:ascii="Georgia" w:eastAsia="Georgia" w:hAnsi="Georgia" w:cs="Georgia"/>
          <w:color w:val="000000"/>
        </w:rPr>
        <w:t>] of children in [</w:t>
      </w:r>
      <w:r w:rsidR="00CE7F01" w:rsidRPr="00CE7F01">
        <w:rPr>
          <w:rFonts w:ascii="Georgia" w:eastAsia="Georgia" w:hAnsi="Georgia" w:cs="Georgia"/>
          <w:color w:val="000000"/>
          <w:highlight w:val="yellow"/>
        </w:rPr>
        <w:t>STATE</w:t>
      </w:r>
      <w:r w:rsidR="00CE7F01">
        <w:rPr>
          <w:rFonts w:ascii="Georgia" w:eastAsia="Georgia" w:hAnsi="Georgia" w:cs="Georgia"/>
          <w:color w:val="000000"/>
        </w:rPr>
        <w:t xml:space="preserve">] </w:t>
      </w:r>
      <w:r w:rsidR="001F5442">
        <w:rPr>
          <w:rFonts w:ascii="Georgia" w:eastAsia="Georgia" w:hAnsi="Georgia" w:cs="Georgia"/>
          <w:color w:val="000000"/>
        </w:rPr>
        <w:t>are</w:t>
      </w:r>
      <w:r w:rsidR="00CE7F01">
        <w:rPr>
          <w:rFonts w:ascii="Georgia" w:eastAsia="Georgia" w:hAnsi="Georgia" w:cs="Georgia"/>
          <w:color w:val="000000"/>
        </w:rPr>
        <w:t xml:space="preserve"> food insecure</w:t>
      </w:r>
      <w:r w:rsidR="001F5442">
        <w:rPr>
          <w:rFonts w:ascii="Georgia" w:eastAsia="Georgia" w:hAnsi="Georgia" w:cs="Georgia"/>
          <w:color w:val="000000"/>
        </w:rPr>
        <w:t xml:space="preserve"> and face hunger</w:t>
      </w:r>
      <w:r w:rsidR="009811BA">
        <w:rPr>
          <w:rFonts w:ascii="Georgia" w:eastAsia="Georgia" w:hAnsi="Georgia" w:cs="Georgia"/>
          <w:color w:val="000000"/>
        </w:rPr>
        <w:t xml:space="preserve">; </w:t>
      </w:r>
      <w:r w:rsidR="00CE7F01">
        <w:rPr>
          <w:rFonts w:ascii="Georgia" w:eastAsia="Georgia" w:hAnsi="Georgia" w:cs="Georgia"/>
          <w:color w:val="000000"/>
        </w:rPr>
        <w:t xml:space="preserve">and </w:t>
      </w:r>
    </w:p>
    <w:p w14:paraId="0306899A" w14:textId="77777777" w:rsidR="009811BA" w:rsidRDefault="009811BA">
      <w:pPr>
        <w:pBdr>
          <w:top w:val="nil"/>
          <w:left w:val="nil"/>
          <w:bottom w:val="nil"/>
          <w:right w:val="nil"/>
          <w:between w:val="nil"/>
        </w:pBdr>
        <w:spacing w:after="0" w:line="240" w:lineRule="auto"/>
        <w:rPr>
          <w:rFonts w:ascii="Georgia" w:eastAsia="Georgia" w:hAnsi="Georgia" w:cs="Georgia"/>
          <w:color w:val="000000"/>
        </w:rPr>
      </w:pPr>
    </w:p>
    <w:p w14:paraId="5542ABE6" w14:textId="12E1CAD2" w:rsidR="00117480" w:rsidRDefault="009811BA">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school-aged children who experience hunger are more likely to be absent from school, visit the school nurse, and experience more challenges than children with a nutritious diet, and skipping breakfast has consistently been linked with worse academic and health outcomes for children;</w:t>
      </w:r>
      <w:r>
        <w:rPr>
          <w:rStyle w:val="EndnoteReference"/>
          <w:rFonts w:ascii="Georgia" w:eastAsia="Georgia" w:hAnsi="Georgia" w:cs="Georgia"/>
          <w:color w:val="000000"/>
        </w:rPr>
        <w:endnoteReference w:id="2"/>
      </w:r>
      <w:r>
        <w:rPr>
          <w:rFonts w:ascii="Georgia" w:eastAsia="Georgia" w:hAnsi="Georgia" w:cs="Georgia"/>
          <w:color w:val="000000"/>
        </w:rPr>
        <w:t xml:space="preserve"> and </w:t>
      </w:r>
    </w:p>
    <w:p w14:paraId="79C976AF"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40DB1980" w14:textId="1A24877F"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eating breakfast improves children’s overall diets,</w:t>
      </w:r>
      <w:r w:rsidR="009811BA">
        <w:rPr>
          <w:rStyle w:val="EndnoteReference"/>
          <w:rFonts w:ascii="Georgia" w:eastAsia="Georgia" w:hAnsi="Georgia" w:cs="Georgia"/>
          <w:color w:val="000000"/>
        </w:rPr>
        <w:endnoteReference w:id="3"/>
      </w:r>
      <w:r>
        <w:rPr>
          <w:rFonts w:ascii="Georgia" w:eastAsia="Georgia" w:hAnsi="Georgia" w:cs="Georgia"/>
          <w:color w:val="000000"/>
        </w:rPr>
        <w:t xml:space="preserve"> builds healthy, lifelong eating habits and enhances their ability to learn and perform academically;</w:t>
      </w:r>
      <w:r w:rsidR="004A1738">
        <w:rPr>
          <w:rStyle w:val="EndnoteReference"/>
          <w:rFonts w:ascii="Georgia" w:eastAsia="Georgia" w:hAnsi="Georgia" w:cs="Georgia"/>
          <w:color w:val="000000"/>
        </w:rPr>
        <w:endnoteReference w:id="4"/>
      </w:r>
      <w:r>
        <w:rPr>
          <w:rFonts w:ascii="Georgia" w:eastAsia="Georgia" w:hAnsi="Georgia" w:cs="Georgia"/>
          <w:color w:val="000000"/>
        </w:rPr>
        <w:t xml:space="preserve"> and </w:t>
      </w:r>
    </w:p>
    <w:p w14:paraId="306E1C24"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B3A665A" w14:textId="7F0EF522"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lastRenderedPageBreak/>
        <w:t>WHEREAS</w:t>
      </w:r>
      <w:r>
        <w:rPr>
          <w:rFonts w:ascii="Georgia" w:eastAsia="Georgia" w:hAnsi="Georgia" w:cs="Georgia"/>
          <w:color w:val="000000"/>
        </w:rPr>
        <w:t>, making breakfast a part of the school day, commonly known as Breakfast After the Bell, and offering breakfast at no cost are effective ways to ensure more students realize the benefits of breakfast;</w:t>
      </w:r>
      <w:r w:rsidR="004A1738">
        <w:rPr>
          <w:rStyle w:val="EndnoteReference"/>
          <w:rFonts w:ascii="Georgia" w:eastAsia="Georgia" w:hAnsi="Georgia" w:cs="Georgia"/>
          <w:color w:val="000000"/>
        </w:rPr>
        <w:endnoteReference w:id="5"/>
      </w:r>
      <w:r>
        <w:rPr>
          <w:rFonts w:ascii="Georgia" w:eastAsia="Georgia" w:hAnsi="Georgia" w:cs="Georgia"/>
          <w:color w:val="000000"/>
        </w:rPr>
        <w:t xml:space="preserve"> and </w:t>
      </w:r>
    </w:p>
    <w:p w14:paraId="5FDFE796" w14:textId="77777777" w:rsidR="000038FD" w:rsidRDefault="000038FD">
      <w:pPr>
        <w:pBdr>
          <w:top w:val="nil"/>
          <w:left w:val="nil"/>
          <w:bottom w:val="nil"/>
          <w:right w:val="nil"/>
          <w:between w:val="nil"/>
        </w:pBdr>
        <w:spacing w:after="0" w:line="240" w:lineRule="auto"/>
        <w:rPr>
          <w:rFonts w:ascii="Georgia" w:eastAsia="Georgia" w:hAnsi="Georgia" w:cs="Georgia"/>
          <w:b/>
          <w:color w:val="000000"/>
        </w:rPr>
      </w:pPr>
    </w:p>
    <w:p w14:paraId="059515DE" w14:textId="61E660E0" w:rsidR="000038FD" w:rsidRPr="000038FD" w:rsidRDefault="000038FD">
      <w:pPr>
        <w:pBdr>
          <w:top w:val="nil"/>
          <w:left w:val="nil"/>
          <w:bottom w:val="nil"/>
          <w:right w:val="nil"/>
          <w:between w:val="nil"/>
        </w:pBdr>
        <w:spacing w:after="0" w:line="240" w:lineRule="auto"/>
        <w:rPr>
          <w:rFonts w:ascii="Georgia" w:eastAsia="Georgia" w:hAnsi="Georgia" w:cs="Georgia"/>
          <w:b/>
          <w:i/>
          <w:iCs/>
          <w:color w:val="000000"/>
        </w:rPr>
      </w:pPr>
      <w:r w:rsidRPr="000038FD">
        <w:rPr>
          <w:rFonts w:ascii="Georgia" w:eastAsia="Georgia" w:hAnsi="Georgia" w:cs="Georgia"/>
          <w:b/>
          <w:i/>
          <w:iCs/>
          <w:color w:val="000000"/>
        </w:rPr>
        <w:t xml:space="preserve">[Option 1 – States without/not considering School Meals for All] </w:t>
      </w:r>
    </w:p>
    <w:p w14:paraId="5D2FC30E" w14:textId="33BD7097"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the federal Community Eligibility Provision offers eligible schools the ability to serve breakfast to all students at no cost, increasing food security and academic outcomes, while also allowing schools to eliminate the collection of paper applications, reduce administrative costs, streamline meal service operations and increase the reimbursements schools receive from federal child nutrition programs;</w:t>
      </w:r>
      <w:r w:rsidR="004A1738">
        <w:rPr>
          <w:rStyle w:val="EndnoteReference"/>
          <w:rFonts w:ascii="Georgia" w:eastAsia="Georgia" w:hAnsi="Georgia" w:cs="Georgia"/>
          <w:color w:val="000000"/>
        </w:rPr>
        <w:endnoteReference w:id="6"/>
      </w:r>
      <w:r>
        <w:rPr>
          <w:rFonts w:ascii="Georgia" w:eastAsia="Georgia" w:hAnsi="Georgia" w:cs="Georgia"/>
          <w:color w:val="000000"/>
        </w:rPr>
        <w:t xml:space="preserve"> and</w:t>
      </w:r>
    </w:p>
    <w:p w14:paraId="0C5ACDD3"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6AED0CE1" w14:textId="2D13D581" w:rsidR="000038FD" w:rsidRDefault="000038FD" w:rsidP="000038FD">
      <w:pPr>
        <w:pBdr>
          <w:top w:val="nil"/>
          <w:left w:val="nil"/>
          <w:bottom w:val="nil"/>
          <w:right w:val="nil"/>
          <w:between w:val="nil"/>
        </w:pBdr>
        <w:spacing w:after="0" w:line="240" w:lineRule="auto"/>
        <w:rPr>
          <w:rFonts w:ascii="Georgia" w:eastAsia="Georgia" w:hAnsi="Georgia" w:cs="Georgia"/>
          <w:b/>
          <w:i/>
          <w:iCs/>
          <w:color w:val="000000"/>
        </w:rPr>
      </w:pPr>
      <w:r w:rsidRPr="000038FD">
        <w:rPr>
          <w:rFonts w:ascii="Georgia" w:eastAsia="Georgia" w:hAnsi="Georgia" w:cs="Georgia"/>
          <w:b/>
          <w:i/>
          <w:iCs/>
          <w:color w:val="000000"/>
        </w:rPr>
        <w:t xml:space="preserve">[Option </w:t>
      </w:r>
      <w:r>
        <w:rPr>
          <w:rFonts w:ascii="Georgia" w:eastAsia="Georgia" w:hAnsi="Georgia" w:cs="Georgia"/>
          <w:b/>
          <w:i/>
          <w:iCs/>
          <w:color w:val="000000"/>
        </w:rPr>
        <w:t>2</w:t>
      </w:r>
      <w:r w:rsidRPr="000038FD">
        <w:rPr>
          <w:rFonts w:ascii="Georgia" w:eastAsia="Georgia" w:hAnsi="Georgia" w:cs="Georgia"/>
          <w:b/>
          <w:i/>
          <w:iCs/>
          <w:color w:val="000000"/>
        </w:rPr>
        <w:t xml:space="preserve"> – States with considering School Meals for All] </w:t>
      </w:r>
    </w:p>
    <w:p w14:paraId="2D945FB0" w14:textId="3596BEF5" w:rsidR="000038FD" w:rsidRPr="000038FD" w:rsidRDefault="000038FD" w:rsidP="000038FD">
      <w:pPr>
        <w:pBdr>
          <w:top w:val="nil"/>
          <w:left w:val="nil"/>
          <w:bottom w:val="nil"/>
          <w:right w:val="nil"/>
          <w:between w:val="nil"/>
        </w:pBdr>
        <w:spacing w:after="0" w:line="240" w:lineRule="auto"/>
        <w:rPr>
          <w:rFonts w:ascii="Georgia" w:eastAsia="Georgia" w:hAnsi="Georgia" w:cs="Georgia"/>
          <w:bCs/>
          <w:color w:val="000000"/>
        </w:rPr>
      </w:pPr>
      <w:r w:rsidRPr="000038FD">
        <w:rPr>
          <w:rFonts w:ascii="Georgia" w:eastAsia="Georgia" w:hAnsi="Georgia" w:cs="Georgia"/>
          <w:b/>
          <w:color w:val="000000"/>
        </w:rPr>
        <w:t>WHEREAS,</w:t>
      </w:r>
      <w:r>
        <w:rPr>
          <w:rFonts w:ascii="Georgia" w:eastAsia="Georgia" w:hAnsi="Georgia" w:cs="Georgia"/>
          <w:bCs/>
          <w:color w:val="000000"/>
        </w:rPr>
        <w:t xml:space="preserve"> </w:t>
      </w:r>
      <w:r w:rsidRPr="000038FD">
        <w:rPr>
          <w:rFonts w:ascii="Georgia" w:eastAsia="Georgia" w:hAnsi="Georgia" w:cs="Georgia"/>
          <w:bCs/>
          <w:color w:val="000000"/>
        </w:rPr>
        <w:t>expanding access to no cost breakfast for all students through Healthy School Meals for All and participation in the federal Community Eligibility Provision for eligible schools increases school breakfast participation and food insecurity, improves academic outcomes, saves families time and money, and reduces stigma and administrative costs</w:t>
      </w:r>
      <w:r>
        <w:rPr>
          <w:rFonts w:ascii="Georgia" w:eastAsia="Georgia" w:hAnsi="Georgia" w:cs="Georgia"/>
          <w:bCs/>
          <w:color w:val="000000"/>
        </w:rPr>
        <w:t>;</w:t>
      </w:r>
      <w:r>
        <w:rPr>
          <w:rStyle w:val="EndnoteReference"/>
          <w:rFonts w:ascii="Georgia" w:eastAsia="Georgia" w:hAnsi="Georgia" w:cs="Georgia"/>
          <w:bCs/>
          <w:color w:val="000000"/>
        </w:rPr>
        <w:endnoteReference w:id="7"/>
      </w:r>
      <w:r>
        <w:rPr>
          <w:rFonts w:ascii="Georgia" w:eastAsia="Georgia" w:hAnsi="Georgia" w:cs="Georgia"/>
          <w:bCs/>
          <w:color w:val="000000"/>
        </w:rPr>
        <w:t xml:space="preserve"> and</w:t>
      </w:r>
    </w:p>
    <w:p w14:paraId="74F69EBA" w14:textId="77777777" w:rsidR="000038FD" w:rsidRDefault="000038FD">
      <w:pPr>
        <w:pBdr>
          <w:top w:val="nil"/>
          <w:left w:val="nil"/>
          <w:bottom w:val="nil"/>
          <w:right w:val="nil"/>
          <w:between w:val="nil"/>
        </w:pBdr>
        <w:spacing w:after="0" w:line="240" w:lineRule="auto"/>
        <w:rPr>
          <w:rFonts w:ascii="Georgia" w:eastAsia="Georgia" w:hAnsi="Georgia" w:cs="Georgia"/>
          <w:b/>
          <w:color w:val="000000"/>
        </w:rPr>
      </w:pPr>
    </w:p>
    <w:p w14:paraId="1296D40C" w14:textId="5E1F61C5"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w:t>
      </w:r>
      <w:r>
        <w:rPr>
          <w:rFonts w:ascii="Georgia" w:eastAsia="Georgia" w:hAnsi="Georgia" w:cs="Georgia"/>
          <w:color w:val="000000"/>
          <w:highlight w:val="yellow"/>
        </w:rPr>
        <w:t>NUMBER-COMPANION COLUMN C</w:t>
      </w:r>
      <w:r>
        <w:rPr>
          <w:rFonts w:ascii="Georgia" w:eastAsia="Georgia" w:hAnsi="Georgia" w:cs="Georgia"/>
          <w:color w:val="000000"/>
        </w:rPr>
        <w:t>] breakfast meals were served in [</w:t>
      </w:r>
      <w:r>
        <w:rPr>
          <w:rFonts w:ascii="Georgia" w:eastAsia="Georgia" w:hAnsi="Georgia" w:cs="Georgia"/>
          <w:color w:val="000000"/>
          <w:highlight w:val="yellow"/>
        </w:rPr>
        <w:t>STATE</w:t>
      </w:r>
      <w:r>
        <w:rPr>
          <w:rFonts w:ascii="Georgia" w:eastAsia="Georgia" w:hAnsi="Georgia" w:cs="Georgia"/>
          <w:color w:val="000000"/>
        </w:rPr>
        <w:t>] in 202</w:t>
      </w:r>
      <w:r w:rsidR="004A1738">
        <w:rPr>
          <w:rFonts w:ascii="Georgia" w:eastAsia="Georgia" w:hAnsi="Georgia" w:cs="Georgia"/>
          <w:color w:val="000000"/>
        </w:rPr>
        <w:t>4</w:t>
      </w:r>
      <w:r>
        <w:rPr>
          <w:rFonts w:ascii="Georgia" w:eastAsia="Georgia" w:hAnsi="Georgia" w:cs="Georgia"/>
          <w:color w:val="000000"/>
        </w:rPr>
        <w:t>, reaching [</w:t>
      </w:r>
      <w:r>
        <w:rPr>
          <w:rFonts w:ascii="Georgia" w:eastAsia="Georgia" w:hAnsi="Georgia" w:cs="Georgia"/>
          <w:color w:val="000000"/>
          <w:highlight w:val="yellow"/>
        </w:rPr>
        <w:t>NUMBER-COMPANION COLUMN D</w:t>
      </w:r>
      <w:r>
        <w:rPr>
          <w:rFonts w:ascii="Georgia" w:eastAsia="Georgia" w:hAnsi="Georgia" w:cs="Georgia"/>
          <w:color w:val="000000"/>
        </w:rPr>
        <w:t>] students;</w:t>
      </w:r>
      <w:r w:rsidR="004A1738">
        <w:rPr>
          <w:rStyle w:val="EndnoteReference"/>
          <w:rFonts w:ascii="Georgia" w:eastAsia="Georgia" w:hAnsi="Georgia" w:cs="Georgia"/>
          <w:color w:val="000000"/>
        </w:rPr>
        <w:endnoteReference w:id="8"/>
      </w:r>
      <w:r>
        <w:rPr>
          <w:rFonts w:ascii="Georgia" w:eastAsia="Georgia" w:hAnsi="Georgia" w:cs="Georgia"/>
          <w:color w:val="000000"/>
        </w:rPr>
        <w:t xml:space="preserve"> and </w:t>
      </w:r>
    </w:p>
    <w:p w14:paraId="3F519345"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378B9FC6" w14:textId="77777777" w:rsidR="00117480" w:rsidRDefault="00000000">
      <w:pPr>
        <w:pBdr>
          <w:top w:val="nil"/>
          <w:left w:val="nil"/>
          <w:bottom w:val="nil"/>
          <w:right w:val="nil"/>
          <w:between w:val="nil"/>
        </w:pBdr>
        <w:spacing w:after="0" w:line="240" w:lineRule="auto"/>
        <w:rPr>
          <w:rFonts w:ascii="Georgia" w:eastAsia="Georgia" w:hAnsi="Georgia" w:cs="Georgia"/>
          <w:color w:val="000000"/>
        </w:rPr>
      </w:pPr>
      <w:bookmarkStart w:id="0" w:name="_heading=h.1fob9te" w:colFirst="0" w:colLast="0"/>
      <w:bookmarkEnd w:id="0"/>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parents, caregivers, teachers, and school food personnel all play an essential role to ensure the children of [</w:t>
      </w:r>
      <w:r>
        <w:rPr>
          <w:rFonts w:ascii="Georgia" w:eastAsia="Georgia" w:hAnsi="Georgia" w:cs="Georgia"/>
          <w:color w:val="000000"/>
          <w:highlight w:val="yellow"/>
        </w:rPr>
        <w:t>CITY</w:t>
      </w:r>
      <w:r>
        <w:rPr>
          <w:rFonts w:ascii="Georgia" w:eastAsia="Georgia" w:hAnsi="Georgia" w:cs="Georgia"/>
          <w:color w:val="000000"/>
        </w:rPr>
        <w:t xml:space="preserve">] have the basic resources needed to grow, learn, discover their own potential, and live happy fulfilling lives; and </w:t>
      </w:r>
    </w:p>
    <w:p w14:paraId="027D4361"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1A8E888D" w14:textId="474AECF7"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No Kid Hungry offers information, tools, resources and grants to support schools in implementing and expanding school breakfast programs</w:t>
      </w:r>
      <w:r w:rsidR="004A1738">
        <w:rPr>
          <w:rStyle w:val="EndnoteReference"/>
          <w:rFonts w:ascii="Georgia" w:eastAsia="Georgia" w:hAnsi="Georgia" w:cs="Georgia"/>
          <w:color w:val="000000"/>
        </w:rPr>
        <w:endnoteReference w:id="9"/>
      </w:r>
      <w:r>
        <w:rPr>
          <w:rFonts w:ascii="Georgia" w:eastAsia="Georgia" w:hAnsi="Georgia" w:cs="Georgia"/>
          <w:color w:val="000000"/>
        </w:rPr>
        <w:t xml:space="preserve"> and the School Nutrition Association offers free materials to help schools commemorate “National School Breakfast Week" including artwork to decorate their meal serving areas, toolkits and handouts, sample menu items, marketing materials, and suggested promotional activities, including games, activities and contests;</w:t>
      </w:r>
      <w:r w:rsidR="004A1738">
        <w:rPr>
          <w:rStyle w:val="EndnoteReference"/>
          <w:rFonts w:ascii="Georgia" w:eastAsia="Georgia" w:hAnsi="Georgia" w:cs="Georgia"/>
          <w:color w:val="000000"/>
        </w:rPr>
        <w:endnoteReference w:id="10"/>
      </w:r>
      <w:r w:rsidR="004A1738">
        <w:rPr>
          <w:rFonts w:ascii="Georgia" w:eastAsia="Georgia" w:hAnsi="Georgia" w:cs="Georgia"/>
          <w:color w:val="000000"/>
        </w:rPr>
        <w:t xml:space="preserve"> </w:t>
      </w:r>
      <w:r>
        <w:rPr>
          <w:rFonts w:ascii="Georgia" w:eastAsia="Georgia" w:hAnsi="Georgia" w:cs="Georgia"/>
          <w:color w:val="000000"/>
        </w:rPr>
        <w:t xml:space="preserve">and </w:t>
      </w:r>
    </w:p>
    <w:p w14:paraId="6919586C"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0C6217DB" w14:textId="77777777"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my administration is committed to helping expand access to and enhance current school breakfast programs to ensure that our children have the means to succeed. </w:t>
      </w:r>
    </w:p>
    <w:p w14:paraId="2A39E043"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7DA59461" w14:textId="2B1703FC" w:rsidR="00117480" w:rsidRDefault="00000000">
      <w:pPr>
        <w:pBdr>
          <w:top w:val="nil"/>
          <w:left w:val="nil"/>
          <w:bottom w:val="nil"/>
          <w:right w:val="nil"/>
          <w:between w:val="nil"/>
        </w:pBdr>
        <w:spacing w:after="0" w:line="240" w:lineRule="auto"/>
        <w:rPr>
          <w:rFonts w:ascii="Georgia" w:eastAsia="Georgia" w:hAnsi="Georgia" w:cs="Georgia"/>
          <w:color w:val="000000"/>
        </w:rPr>
      </w:pPr>
      <w:bookmarkStart w:id="1" w:name="_heading=h.3znysh7" w:colFirst="0" w:colLast="0"/>
      <w:bookmarkEnd w:id="1"/>
      <w:r>
        <w:rPr>
          <w:rFonts w:ascii="Georgia" w:eastAsia="Georgia" w:hAnsi="Georgia" w:cs="Georgia"/>
          <w:b/>
          <w:color w:val="000000"/>
        </w:rPr>
        <w:t xml:space="preserve">THEREFORE, </w:t>
      </w:r>
      <w:proofErr w:type="gramStart"/>
      <w:r>
        <w:rPr>
          <w:rFonts w:ascii="Georgia" w:eastAsia="Georgia" w:hAnsi="Georgia" w:cs="Georgia"/>
          <w:b/>
          <w:color w:val="000000"/>
        </w:rPr>
        <w:t>BE IT</w:t>
      </w:r>
      <w:proofErr w:type="gramEnd"/>
      <w:r>
        <w:rPr>
          <w:rFonts w:ascii="Georgia" w:eastAsia="Georgia" w:hAnsi="Georgia" w:cs="Georgia"/>
          <w:b/>
          <w:color w:val="000000"/>
        </w:rPr>
        <w:t xml:space="preserve"> RESOLVED </w:t>
      </w:r>
      <w:r>
        <w:rPr>
          <w:rFonts w:ascii="Georgia" w:eastAsia="Georgia" w:hAnsi="Georgia" w:cs="Georgia"/>
          <w:color w:val="000000"/>
        </w:rPr>
        <w:t>that I, [</w:t>
      </w:r>
      <w:r>
        <w:rPr>
          <w:rFonts w:ascii="Georgia" w:eastAsia="Georgia" w:hAnsi="Georgia" w:cs="Georgia"/>
          <w:color w:val="000000"/>
          <w:highlight w:val="yellow"/>
        </w:rPr>
        <w:t>FIRST NAME</w:t>
      </w:r>
      <w:r>
        <w:rPr>
          <w:rFonts w:ascii="Georgia" w:eastAsia="Georgia" w:hAnsi="Georgia" w:cs="Georgia"/>
          <w:color w:val="000000"/>
        </w:rPr>
        <w:t>] [</w:t>
      </w:r>
      <w:r>
        <w:rPr>
          <w:rFonts w:ascii="Georgia" w:eastAsia="Georgia" w:hAnsi="Georgia" w:cs="Georgia"/>
          <w:color w:val="000000"/>
          <w:highlight w:val="yellow"/>
        </w:rPr>
        <w:t>LAST NAME</w:t>
      </w:r>
      <w:r>
        <w:rPr>
          <w:rFonts w:ascii="Georgia" w:eastAsia="Georgia" w:hAnsi="Georgia" w:cs="Georgia"/>
          <w:color w:val="000000"/>
        </w:rPr>
        <w:t>], Mayor of [</w:t>
      </w:r>
      <w:r>
        <w:rPr>
          <w:rFonts w:ascii="Georgia" w:eastAsia="Georgia" w:hAnsi="Georgia" w:cs="Georgia"/>
          <w:color w:val="000000"/>
          <w:highlight w:val="yellow"/>
        </w:rPr>
        <w:t>CITY</w:t>
      </w:r>
      <w:r>
        <w:rPr>
          <w:rFonts w:ascii="Georgia" w:eastAsia="Georgia" w:hAnsi="Georgia" w:cs="Georgia"/>
          <w:color w:val="000000"/>
        </w:rPr>
        <w:t xml:space="preserve">], do hereby proclaim March </w:t>
      </w:r>
      <w:r w:rsidR="00CE7F01">
        <w:rPr>
          <w:rFonts w:ascii="Georgia" w:eastAsia="Georgia" w:hAnsi="Georgia" w:cs="Georgia"/>
        </w:rPr>
        <w:t>3</w:t>
      </w:r>
      <w:r>
        <w:rPr>
          <w:rFonts w:ascii="Georgia" w:eastAsia="Georgia" w:hAnsi="Georgia" w:cs="Georgia"/>
          <w:color w:val="000000"/>
        </w:rPr>
        <w:t>-</w:t>
      </w:r>
      <w:r w:rsidR="00CE7F01">
        <w:rPr>
          <w:rFonts w:ascii="Georgia" w:eastAsia="Georgia" w:hAnsi="Georgia" w:cs="Georgia"/>
        </w:rPr>
        <w:t>7</w:t>
      </w:r>
      <w:r>
        <w:rPr>
          <w:rFonts w:ascii="Georgia" w:eastAsia="Georgia" w:hAnsi="Georgia" w:cs="Georgia"/>
          <w:color w:val="000000"/>
        </w:rPr>
        <w:t>, 202</w:t>
      </w:r>
      <w:r w:rsidR="00CE7F01">
        <w:rPr>
          <w:rFonts w:ascii="Georgia" w:eastAsia="Georgia" w:hAnsi="Georgia" w:cs="Georgia"/>
        </w:rPr>
        <w:t>5</w:t>
      </w:r>
      <w:r>
        <w:rPr>
          <w:rFonts w:ascii="Georgia" w:eastAsia="Georgia" w:hAnsi="Georgia" w:cs="Georgia"/>
          <w:color w:val="000000"/>
        </w:rPr>
        <w:t>, as SCHOOL BREAKFAST WEEK. I encourage all residents of [</w:t>
      </w:r>
      <w:r>
        <w:rPr>
          <w:rFonts w:ascii="Georgia" w:eastAsia="Georgia" w:hAnsi="Georgia" w:cs="Georgia"/>
          <w:color w:val="000000"/>
          <w:highlight w:val="yellow"/>
        </w:rPr>
        <w:t>CITY</w:t>
      </w:r>
      <w:r>
        <w:rPr>
          <w:rFonts w:ascii="Georgia" w:eastAsia="Georgia" w:hAnsi="Georgia" w:cs="Georgia"/>
          <w:color w:val="000000"/>
        </w:rPr>
        <w:t xml:space="preserve">] to recognize and commemorate school administrators, </w:t>
      </w:r>
      <w:r w:rsidR="00283EBE">
        <w:rPr>
          <w:rFonts w:ascii="Georgia" w:eastAsia="Georgia" w:hAnsi="Georgia" w:cs="Georgia"/>
          <w:color w:val="000000"/>
        </w:rPr>
        <w:t>school nutrition</w:t>
      </w:r>
      <w:r>
        <w:rPr>
          <w:rFonts w:ascii="Georgia" w:eastAsia="Georgia" w:hAnsi="Georgia" w:cs="Georgia"/>
          <w:color w:val="000000"/>
        </w:rPr>
        <w:t xml:space="preserve"> directors, and cafeteria staff who operate school breakfast programs that ensure the health, safety, and success of our children. </w:t>
      </w:r>
    </w:p>
    <w:p w14:paraId="42147C97" w14:textId="77777777" w:rsidR="004A1738" w:rsidRDefault="004A1738">
      <w:pPr>
        <w:pBdr>
          <w:top w:val="nil"/>
          <w:left w:val="nil"/>
          <w:bottom w:val="nil"/>
          <w:right w:val="nil"/>
          <w:between w:val="nil"/>
        </w:pBdr>
        <w:spacing w:after="0" w:line="240" w:lineRule="auto"/>
        <w:rPr>
          <w:rFonts w:ascii="Georgia" w:eastAsia="Georgia" w:hAnsi="Georgia" w:cs="Georgia"/>
          <w:color w:val="000000"/>
        </w:rPr>
      </w:pPr>
    </w:p>
    <w:p w14:paraId="3F583CE4" w14:textId="77777777" w:rsidR="004A1738" w:rsidRDefault="004A1738">
      <w:pPr>
        <w:pBdr>
          <w:top w:val="nil"/>
          <w:left w:val="nil"/>
          <w:bottom w:val="nil"/>
          <w:right w:val="nil"/>
          <w:between w:val="nil"/>
        </w:pBdr>
        <w:spacing w:after="0" w:line="240" w:lineRule="auto"/>
        <w:rPr>
          <w:rFonts w:ascii="Georgia" w:eastAsia="Georgia" w:hAnsi="Georgia" w:cs="Georgia"/>
          <w:color w:val="000000"/>
        </w:rPr>
      </w:pPr>
    </w:p>
    <w:p w14:paraId="7082260D"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6BC2AD1F"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74C12DC5"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238B3C8F"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068D05E"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50468FAC"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239DB95"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28286D4"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4D61B1ED" w14:textId="00A985E6" w:rsidR="004A1738" w:rsidRPr="004A1738" w:rsidRDefault="004A1738">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lastRenderedPageBreak/>
        <w:t xml:space="preserve">REFERENCES </w:t>
      </w:r>
    </w:p>
    <w:sectPr w:rsidR="004A1738" w:rsidRPr="004A1738">
      <w:headerReference w:type="first" r:id="rId11"/>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E583" w14:textId="77777777" w:rsidR="00012D30" w:rsidRDefault="00012D30">
      <w:pPr>
        <w:spacing w:after="0" w:line="240" w:lineRule="auto"/>
      </w:pPr>
      <w:r>
        <w:separator/>
      </w:r>
    </w:p>
  </w:endnote>
  <w:endnote w:type="continuationSeparator" w:id="0">
    <w:p w14:paraId="1316DF40" w14:textId="77777777" w:rsidR="00012D30" w:rsidRDefault="00012D30">
      <w:pPr>
        <w:spacing w:after="0" w:line="240" w:lineRule="auto"/>
      </w:pPr>
      <w:r>
        <w:continuationSeparator/>
      </w:r>
    </w:p>
  </w:endnote>
  <w:endnote w:id="1">
    <w:p w14:paraId="3C452233" w14:textId="440B288B" w:rsidR="009811BA" w:rsidRDefault="009811BA">
      <w:pPr>
        <w:pStyle w:val="EndnoteText"/>
      </w:pPr>
      <w:r>
        <w:rPr>
          <w:rStyle w:val="EndnoteReference"/>
        </w:rPr>
        <w:endnoteRef/>
      </w:r>
      <w:r>
        <w:t xml:space="preserve"> </w:t>
      </w:r>
      <w:r>
        <w:rPr>
          <w:rFonts w:ascii="Georgia" w:eastAsia="Georgia" w:hAnsi="Georgia" w:cs="Georgia"/>
          <w:color w:val="000000"/>
          <w:sz w:val="18"/>
          <w:szCs w:val="18"/>
          <w:highlight w:val="white"/>
        </w:rPr>
        <w:t>Bartfeld JS, Ahn HM. The School Breakfast Program strengthens household food security among low-income households with elementary school children. </w:t>
      </w:r>
      <w:r>
        <w:rPr>
          <w:rFonts w:ascii="Georgia" w:eastAsia="Georgia" w:hAnsi="Georgia" w:cs="Georgia"/>
          <w:i/>
          <w:color w:val="000000"/>
          <w:sz w:val="18"/>
          <w:szCs w:val="18"/>
          <w:highlight w:val="white"/>
        </w:rPr>
        <w:t>J Nutr</w:t>
      </w:r>
      <w:r>
        <w:rPr>
          <w:rFonts w:ascii="Georgia" w:eastAsia="Georgia" w:hAnsi="Georgia" w:cs="Georgia"/>
          <w:color w:val="000000"/>
          <w:sz w:val="18"/>
          <w:szCs w:val="18"/>
          <w:highlight w:val="white"/>
        </w:rPr>
        <w:t>. 2011;141(3):470-475. doi:10.3945/jn.110.130823.</w:t>
      </w:r>
    </w:p>
  </w:endnote>
  <w:endnote w:id="2">
    <w:p w14:paraId="336092CB" w14:textId="0C2F6FD4" w:rsidR="009811BA" w:rsidRDefault="009811BA">
      <w:pPr>
        <w:pStyle w:val="EndnoteText"/>
      </w:pPr>
      <w:r>
        <w:rPr>
          <w:rStyle w:val="EndnoteReference"/>
        </w:rPr>
        <w:endnoteRef/>
      </w:r>
      <w:r>
        <w:t xml:space="preserve"> </w:t>
      </w:r>
      <w:r>
        <w:rPr>
          <w:rFonts w:ascii="Georgia" w:eastAsia="Georgia" w:hAnsi="Georgia" w:cs="Georgia"/>
          <w:color w:val="000000"/>
          <w:sz w:val="18"/>
          <w:szCs w:val="18"/>
          <w:highlight w:val="white"/>
        </w:rPr>
        <w:t>Ricotti R, Caputo M, Monzani A, et al. Breakfast Skipping, Weight, Cardiometabolic Risk, and Nutrition Quality in Children and Adolescents: A Systematic Review of Randomized Controlled and Intervention Longitudinal Trials. </w:t>
      </w:r>
      <w:r>
        <w:rPr>
          <w:rFonts w:ascii="Georgia" w:eastAsia="Georgia" w:hAnsi="Georgia" w:cs="Georgia"/>
          <w:i/>
          <w:color w:val="000000"/>
          <w:sz w:val="18"/>
          <w:szCs w:val="18"/>
          <w:highlight w:val="white"/>
        </w:rPr>
        <w:t>Nutrients</w:t>
      </w:r>
      <w:r>
        <w:rPr>
          <w:rFonts w:ascii="Georgia" w:eastAsia="Georgia" w:hAnsi="Georgia" w:cs="Georgia"/>
          <w:color w:val="000000"/>
          <w:sz w:val="18"/>
          <w:szCs w:val="18"/>
          <w:highlight w:val="white"/>
        </w:rPr>
        <w:t>. 2021;13(10):3331. doi:10.3390/nu13103331.</w:t>
      </w:r>
    </w:p>
  </w:endnote>
  <w:endnote w:id="3">
    <w:p w14:paraId="6BE1867E" w14:textId="7747FA7C" w:rsidR="009811BA" w:rsidRDefault="009811BA">
      <w:pPr>
        <w:pStyle w:val="EndnoteText"/>
      </w:pPr>
      <w:r>
        <w:rPr>
          <w:rStyle w:val="EndnoteReference"/>
        </w:rPr>
        <w:endnoteRef/>
      </w:r>
      <w:r>
        <w:t xml:space="preserve"> </w:t>
      </w:r>
      <w:r>
        <w:rPr>
          <w:rFonts w:ascii="Georgia" w:eastAsia="Georgia" w:hAnsi="Georgia" w:cs="Georgia"/>
          <w:color w:val="000000"/>
          <w:sz w:val="18"/>
          <w:szCs w:val="18"/>
          <w:highlight w:val="white"/>
        </w:rPr>
        <w:t>O'Neil CE, Nicklas TA, Fulgoni VL 3rd. Nutrient Intake, Diet Quality, and Weight Measures in Breakfast Patterns Consumed by Children Compared with Breakfast Skippers: NHANES 2001-2008. </w:t>
      </w:r>
      <w:r>
        <w:rPr>
          <w:rFonts w:ascii="Georgia" w:eastAsia="Georgia" w:hAnsi="Georgia" w:cs="Georgia"/>
          <w:i/>
          <w:color w:val="000000"/>
          <w:sz w:val="18"/>
          <w:szCs w:val="18"/>
          <w:highlight w:val="white"/>
        </w:rPr>
        <w:t>AIMS Public Health</w:t>
      </w:r>
      <w:r>
        <w:rPr>
          <w:rFonts w:ascii="Georgia" w:eastAsia="Georgia" w:hAnsi="Georgia" w:cs="Georgia"/>
          <w:color w:val="000000"/>
          <w:sz w:val="18"/>
          <w:szCs w:val="18"/>
          <w:highlight w:val="white"/>
        </w:rPr>
        <w:t>. 2015;2(3):441-468. doi:10.3934/publichealth.2015.3.441.</w:t>
      </w:r>
    </w:p>
  </w:endnote>
  <w:endnote w:id="4">
    <w:p w14:paraId="278BDDDB" w14:textId="5B81B5B3" w:rsidR="004A1738" w:rsidRDefault="004A1738">
      <w:pPr>
        <w:pStyle w:val="EndnoteText"/>
      </w:pPr>
      <w:r>
        <w:rPr>
          <w:rStyle w:val="EndnoteReference"/>
        </w:rPr>
        <w:endnoteRef/>
      </w:r>
      <w:r>
        <w:t xml:space="preserve"> </w:t>
      </w:r>
      <w:r w:rsidRPr="00BB03F6">
        <w:rPr>
          <w:rFonts w:ascii="Georgia" w:eastAsia="Georgia" w:hAnsi="Georgia" w:cs="Georgia"/>
          <w:color w:val="000000"/>
          <w:sz w:val="18"/>
          <w:szCs w:val="18"/>
        </w:rPr>
        <w:t xml:space="preserve">Lundqvist M, Vogel NE, Levin LÅ. Effects of </w:t>
      </w:r>
      <w:r>
        <w:rPr>
          <w:rFonts w:ascii="Georgia" w:eastAsia="Georgia" w:hAnsi="Georgia" w:cs="Georgia"/>
          <w:color w:val="000000"/>
          <w:sz w:val="18"/>
          <w:szCs w:val="18"/>
        </w:rPr>
        <w:t>E</w:t>
      </w:r>
      <w:r w:rsidRPr="00BB03F6">
        <w:rPr>
          <w:rFonts w:ascii="Georgia" w:eastAsia="Georgia" w:hAnsi="Georgia" w:cs="Georgia"/>
          <w:color w:val="000000"/>
          <w:sz w:val="18"/>
          <w:szCs w:val="18"/>
        </w:rPr>
        <w:t xml:space="preserve">ating </w:t>
      </w:r>
      <w:r>
        <w:rPr>
          <w:rFonts w:ascii="Georgia" w:eastAsia="Georgia" w:hAnsi="Georgia" w:cs="Georgia"/>
          <w:color w:val="000000"/>
          <w:sz w:val="18"/>
          <w:szCs w:val="18"/>
        </w:rPr>
        <w:t>B</w:t>
      </w:r>
      <w:r w:rsidRPr="00BB03F6">
        <w:rPr>
          <w:rFonts w:ascii="Georgia" w:eastAsia="Georgia" w:hAnsi="Georgia" w:cs="Georgia"/>
          <w:color w:val="000000"/>
          <w:sz w:val="18"/>
          <w:szCs w:val="18"/>
        </w:rPr>
        <w:t xml:space="preserve">reakfast on </w:t>
      </w:r>
      <w:r>
        <w:rPr>
          <w:rFonts w:ascii="Georgia" w:eastAsia="Georgia" w:hAnsi="Georgia" w:cs="Georgia"/>
          <w:color w:val="000000"/>
          <w:sz w:val="18"/>
          <w:szCs w:val="18"/>
        </w:rPr>
        <w:t>C</w:t>
      </w:r>
      <w:r w:rsidRPr="00BB03F6">
        <w:rPr>
          <w:rFonts w:ascii="Georgia" w:eastAsia="Georgia" w:hAnsi="Georgia" w:cs="Georgia"/>
          <w:color w:val="000000"/>
          <w:sz w:val="18"/>
          <w:szCs w:val="18"/>
        </w:rPr>
        <w:t xml:space="preserve">hildren and </w:t>
      </w:r>
      <w:r>
        <w:rPr>
          <w:rFonts w:ascii="Georgia" w:eastAsia="Georgia" w:hAnsi="Georgia" w:cs="Georgia"/>
          <w:color w:val="000000"/>
          <w:sz w:val="18"/>
          <w:szCs w:val="18"/>
        </w:rPr>
        <w:t>A</w:t>
      </w:r>
      <w:r w:rsidRPr="00BB03F6">
        <w:rPr>
          <w:rFonts w:ascii="Georgia" w:eastAsia="Georgia" w:hAnsi="Georgia" w:cs="Georgia"/>
          <w:color w:val="000000"/>
          <w:sz w:val="18"/>
          <w:szCs w:val="18"/>
        </w:rPr>
        <w:t xml:space="preserve">dolescents: A </w:t>
      </w:r>
      <w:r>
        <w:rPr>
          <w:rFonts w:ascii="Georgia" w:eastAsia="Georgia" w:hAnsi="Georgia" w:cs="Georgia"/>
          <w:color w:val="000000"/>
          <w:sz w:val="18"/>
          <w:szCs w:val="18"/>
        </w:rPr>
        <w:t>S</w:t>
      </w:r>
      <w:r w:rsidRPr="00BB03F6">
        <w:rPr>
          <w:rFonts w:ascii="Georgia" w:eastAsia="Georgia" w:hAnsi="Georgia" w:cs="Georgia"/>
          <w:color w:val="000000"/>
          <w:sz w:val="18"/>
          <w:szCs w:val="18"/>
        </w:rPr>
        <w:t xml:space="preserve">ystematic </w:t>
      </w:r>
      <w:r>
        <w:rPr>
          <w:rFonts w:ascii="Georgia" w:eastAsia="Georgia" w:hAnsi="Georgia" w:cs="Georgia"/>
          <w:color w:val="000000"/>
          <w:sz w:val="18"/>
          <w:szCs w:val="18"/>
        </w:rPr>
        <w:t>R</w:t>
      </w:r>
      <w:r w:rsidRPr="00BB03F6">
        <w:rPr>
          <w:rFonts w:ascii="Georgia" w:eastAsia="Georgia" w:hAnsi="Georgia" w:cs="Georgia"/>
          <w:color w:val="000000"/>
          <w:sz w:val="18"/>
          <w:szCs w:val="18"/>
        </w:rPr>
        <w:t xml:space="preserve">eview of </w:t>
      </w:r>
      <w:r>
        <w:rPr>
          <w:rFonts w:ascii="Georgia" w:eastAsia="Georgia" w:hAnsi="Georgia" w:cs="Georgia"/>
          <w:color w:val="000000"/>
          <w:sz w:val="18"/>
          <w:szCs w:val="18"/>
        </w:rPr>
        <w:t>P</w:t>
      </w:r>
      <w:r w:rsidRPr="00BB03F6">
        <w:rPr>
          <w:rFonts w:ascii="Georgia" w:eastAsia="Georgia" w:hAnsi="Georgia" w:cs="Georgia"/>
          <w:color w:val="000000"/>
          <w:sz w:val="18"/>
          <w:szCs w:val="18"/>
        </w:rPr>
        <w:t xml:space="preserve">otentially </w:t>
      </w:r>
      <w:r>
        <w:rPr>
          <w:rFonts w:ascii="Georgia" w:eastAsia="Georgia" w:hAnsi="Georgia" w:cs="Georgia"/>
          <w:color w:val="000000"/>
          <w:sz w:val="18"/>
          <w:szCs w:val="18"/>
        </w:rPr>
        <w:t>R</w:t>
      </w:r>
      <w:r w:rsidRPr="00BB03F6">
        <w:rPr>
          <w:rFonts w:ascii="Georgia" w:eastAsia="Georgia" w:hAnsi="Georgia" w:cs="Georgia"/>
          <w:color w:val="000000"/>
          <w:sz w:val="18"/>
          <w:szCs w:val="18"/>
        </w:rPr>
        <w:t xml:space="preserve">elevant </w:t>
      </w:r>
      <w:r>
        <w:rPr>
          <w:rFonts w:ascii="Georgia" w:eastAsia="Georgia" w:hAnsi="Georgia" w:cs="Georgia"/>
          <w:color w:val="000000"/>
          <w:sz w:val="18"/>
          <w:szCs w:val="18"/>
        </w:rPr>
        <w:t>O</w:t>
      </w:r>
      <w:r w:rsidRPr="00BB03F6">
        <w:rPr>
          <w:rFonts w:ascii="Georgia" w:eastAsia="Georgia" w:hAnsi="Georgia" w:cs="Georgia"/>
          <w:color w:val="000000"/>
          <w:sz w:val="18"/>
          <w:szCs w:val="18"/>
        </w:rPr>
        <w:t xml:space="preserve">utcomes in </w:t>
      </w:r>
      <w:r>
        <w:rPr>
          <w:rFonts w:ascii="Georgia" w:eastAsia="Georgia" w:hAnsi="Georgia" w:cs="Georgia"/>
          <w:color w:val="000000"/>
          <w:sz w:val="18"/>
          <w:szCs w:val="18"/>
        </w:rPr>
        <w:t>E</w:t>
      </w:r>
      <w:r w:rsidRPr="00BB03F6">
        <w:rPr>
          <w:rFonts w:ascii="Georgia" w:eastAsia="Georgia" w:hAnsi="Georgia" w:cs="Georgia"/>
          <w:color w:val="000000"/>
          <w:sz w:val="18"/>
          <w:szCs w:val="18"/>
        </w:rPr>
        <w:t xml:space="preserve">conomic </w:t>
      </w:r>
      <w:r>
        <w:rPr>
          <w:rFonts w:ascii="Georgia" w:eastAsia="Georgia" w:hAnsi="Georgia" w:cs="Georgia"/>
          <w:color w:val="000000"/>
          <w:sz w:val="18"/>
          <w:szCs w:val="18"/>
        </w:rPr>
        <w:t>E</w:t>
      </w:r>
      <w:r w:rsidRPr="00BB03F6">
        <w:rPr>
          <w:rFonts w:ascii="Georgia" w:eastAsia="Georgia" w:hAnsi="Georgia" w:cs="Georgia"/>
          <w:color w:val="000000"/>
          <w:sz w:val="18"/>
          <w:szCs w:val="18"/>
        </w:rPr>
        <w:t>valuations. </w:t>
      </w:r>
      <w:r w:rsidRPr="00BB03F6">
        <w:rPr>
          <w:rFonts w:ascii="Georgia" w:eastAsia="Georgia" w:hAnsi="Georgia" w:cs="Georgia"/>
          <w:i/>
          <w:iCs/>
          <w:color w:val="000000"/>
          <w:sz w:val="18"/>
          <w:szCs w:val="18"/>
        </w:rPr>
        <w:t>Food Nutr Res</w:t>
      </w:r>
      <w:r w:rsidRPr="00BB03F6">
        <w:rPr>
          <w:rFonts w:ascii="Georgia" w:eastAsia="Georgia" w:hAnsi="Georgia" w:cs="Georgia"/>
          <w:color w:val="000000"/>
          <w:sz w:val="18"/>
          <w:szCs w:val="18"/>
        </w:rPr>
        <w:t xml:space="preserve">. </w:t>
      </w:r>
      <w:proofErr w:type="gramStart"/>
      <w:r w:rsidRPr="00BB03F6">
        <w:rPr>
          <w:rFonts w:ascii="Georgia" w:eastAsia="Georgia" w:hAnsi="Georgia" w:cs="Georgia"/>
          <w:color w:val="000000"/>
          <w:sz w:val="18"/>
          <w:szCs w:val="18"/>
        </w:rPr>
        <w:t>2019;63:10</w:t>
      </w:r>
      <w:proofErr w:type="gramEnd"/>
      <w:r w:rsidRPr="00BB03F6">
        <w:rPr>
          <w:rFonts w:ascii="Georgia" w:eastAsia="Georgia" w:hAnsi="Georgia" w:cs="Georgia"/>
          <w:color w:val="000000"/>
          <w:sz w:val="18"/>
          <w:szCs w:val="18"/>
        </w:rPr>
        <w:t>.29219/fnr.v63.1618. doi:10.29219/</w:t>
      </w:r>
      <w:proofErr w:type="gramStart"/>
      <w:r w:rsidRPr="00BB03F6">
        <w:rPr>
          <w:rFonts w:ascii="Georgia" w:eastAsia="Georgia" w:hAnsi="Georgia" w:cs="Georgia"/>
          <w:color w:val="000000"/>
          <w:sz w:val="18"/>
          <w:szCs w:val="18"/>
        </w:rPr>
        <w:t>fnr.v</w:t>
      </w:r>
      <w:proofErr w:type="gramEnd"/>
      <w:r w:rsidRPr="00BB03F6">
        <w:rPr>
          <w:rFonts w:ascii="Georgia" w:eastAsia="Georgia" w:hAnsi="Georgia" w:cs="Georgia"/>
          <w:color w:val="000000"/>
          <w:sz w:val="18"/>
          <w:szCs w:val="18"/>
        </w:rPr>
        <w:t>63.1618</w:t>
      </w:r>
    </w:p>
  </w:endnote>
  <w:endnote w:id="5">
    <w:p w14:paraId="623F2CC9" w14:textId="3BF02BE6" w:rsidR="004A1738" w:rsidRDefault="004A1738">
      <w:pPr>
        <w:pStyle w:val="EndnoteText"/>
      </w:pPr>
      <w:r>
        <w:rPr>
          <w:rStyle w:val="EndnoteReference"/>
        </w:rPr>
        <w:endnoteRef/>
      </w:r>
      <w:r>
        <w:t xml:space="preserve"> </w:t>
      </w:r>
      <w:r w:rsidRPr="00D81979">
        <w:rPr>
          <w:rFonts w:ascii="Georgia" w:eastAsia="Georgia" w:hAnsi="Georgia" w:cs="Georgia"/>
          <w:color w:val="000000"/>
          <w:sz w:val="18"/>
          <w:szCs w:val="18"/>
        </w:rPr>
        <w:t xml:space="preserve">Kingshipp BJ, et al. Breakfast Consumption by School-Aged Children and Adolescents and School Performance, Weight-Related Outcomes, and Health Outcomes &amp; U.S. School Breakfast Program Best Practices, Including Models of Student Costs and Breakfast Delivery: A Series of Rapid Reviews. 2022. </w:t>
      </w:r>
      <w:hyperlink r:id="rId1" w:history="1">
        <w:r w:rsidRPr="00784B29">
          <w:rPr>
            <w:rStyle w:val="Hyperlink"/>
            <w:rFonts w:ascii="Georgia" w:eastAsia="Georgia" w:hAnsi="Georgia" w:cs="Georgia"/>
            <w:sz w:val="18"/>
            <w:szCs w:val="18"/>
          </w:rPr>
          <w:t>https://www.ncbi.nlm.nih.gov/books/NBK597877/</w:t>
        </w:r>
      </w:hyperlink>
    </w:p>
  </w:endnote>
  <w:endnote w:id="6">
    <w:p w14:paraId="1726B587" w14:textId="02D7F291" w:rsidR="004A1738" w:rsidRDefault="004A1738">
      <w:pPr>
        <w:pStyle w:val="EndnoteText"/>
      </w:pPr>
      <w:r>
        <w:rPr>
          <w:rStyle w:val="EndnoteReference"/>
        </w:rPr>
        <w:endnoteRef/>
      </w:r>
      <w:r>
        <w:t xml:space="preserve"> </w:t>
      </w:r>
      <w:r>
        <w:rPr>
          <w:rFonts w:ascii="Georgia" w:eastAsia="Georgia" w:hAnsi="Georgia" w:cs="Georgia"/>
          <w:color w:val="000000"/>
          <w:sz w:val="18"/>
          <w:szCs w:val="18"/>
          <w:highlight w:val="white"/>
        </w:rPr>
        <w:t>Hecht AA, Pollack Porter KM, Turner L. Impact of The Community Eligibility Provision of the Healthy, Hunger-Free Kids Act on Student Nutrition, Behavior, and Academic Outcomes: 2011-2019. </w:t>
      </w:r>
      <w:r>
        <w:rPr>
          <w:rFonts w:ascii="Georgia" w:eastAsia="Georgia" w:hAnsi="Georgia" w:cs="Georgia"/>
          <w:i/>
          <w:color w:val="000000"/>
          <w:sz w:val="18"/>
          <w:szCs w:val="18"/>
          <w:highlight w:val="white"/>
        </w:rPr>
        <w:t>Am J Public Health</w:t>
      </w:r>
      <w:r>
        <w:rPr>
          <w:rFonts w:ascii="Georgia" w:eastAsia="Georgia" w:hAnsi="Georgia" w:cs="Georgia"/>
          <w:color w:val="000000"/>
          <w:sz w:val="18"/>
          <w:szCs w:val="18"/>
          <w:highlight w:val="white"/>
        </w:rPr>
        <w:t>. 2020;110(9):1405-1410. doi:10.2105/AJPH.2020.305743.</w:t>
      </w:r>
    </w:p>
  </w:endnote>
  <w:endnote w:id="7">
    <w:p w14:paraId="732892CB" w14:textId="1472DE2B" w:rsidR="000038FD" w:rsidRPr="000038FD" w:rsidRDefault="000038FD">
      <w:pPr>
        <w:pStyle w:val="EndnoteText"/>
        <w:rPr>
          <w:rFonts w:ascii="Georgia" w:hAnsi="Georgia" w:cs="Arial"/>
        </w:rPr>
      </w:pPr>
      <w:r w:rsidRPr="000038FD">
        <w:rPr>
          <w:rStyle w:val="EndnoteReference"/>
          <w:rFonts w:ascii="Georgia" w:hAnsi="Georgia" w:cs="Arial"/>
          <w:sz w:val="18"/>
          <w:szCs w:val="18"/>
        </w:rPr>
        <w:endnoteRef/>
      </w:r>
      <w:r w:rsidRPr="000038FD">
        <w:rPr>
          <w:rFonts w:ascii="Georgia" w:hAnsi="Georgia" w:cs="Arial"/>
          <w:sz w:val="18"/>
          <w:szCs w:val="18"/>
        </w:rPr>
        <w:t xml:space="preserve"> Cohen JFW, </w:t>
      </w:r>
      <w:r>
        <w:rPr>
          <w:rFonts w:ascii="Georgia" w:hAnsi="Georgia" w:cs="Arial"/>
          <w:sz w:val="18"/>
          <w:szCs w:val="18"/>
        </w:rPr>
        <w:t>et al</w:t>
      </w:r>
      <w:r w:rsidRPr="000038FD">
        <w:rPr>
          <w:rFonts w:ascii="Georgia" w:hAnsi="Georgia" w:cs="Arial"/>
          <w:sz w:val="18"/>
          <w:szCs w:val="18"/>
        </w:rPr>
        <w:t>. Universal School Meals and Associations with Student Participation, Attendance, Academic Performance, Diet Quality, Food Security, and Body Mass Index: A Systematic Review. Nutrients. 2021;13(3):911. doi:10.3390/nu13030911</w:t>
      </w:r>
    </w:p>
  </w:endnote>
  <w:endnote w:id="8">
    <w:p w14:paraId="2538D3E8" w14:textId="1269C7F3"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Child Nutrition Tables, Data &amp; Research, U.S. Department of Agriculture, </w:t>
      </w:r>
      <w:hyperlink r:id="rId2">
        <w:r>
          <w:rPr>
            <w:rFonts w:ascii="Georgia" w:eastAsia="Georgia" w:hAnsi="Georgia" w:cs="Georgia"/>
            <w:color w:val="0563C1"/>
            <w:sz w:val="18"/>
            <w:szCs w:val="18"/>
            <w:u w:val="single"/>
          </w:rPr>
          <w:t>https://www.fns.usda.gov/pd/child-nutrition-tables</w:t>
        </w:r>
      </w:hyperlink>
    </w:p>
  </w:endnote>
  <w:endnote w:id="9">
    <w:p w14:paraId="042132EF" w14:textId="5ADD8AC6"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No Kid Hungry, Center for Best Practices, </w:t>
      </w:r>
      <w:hyperlink r:id="rId3">
        <w:r>
          <w:rPr>
            <w:rFonts w:ascii="Georgia" w:eastAsia="Georgia" w:hAnsi="Georgia" w:cs="Georgia"/>
            <w:color w:val="0563C1"/>
            <w:sz w:val="18"/>
            <w:szCs w:val="18"/>
            <w:u w:val="single"/>
          </w:rPr>
          <w:t>https://bestpractices.nokidhungry.org/programs/school-breakfast</w:t>
        </w:r>
      </w:hyperlink>
      <w:r>
        <w:rPr>
          <w:rFonts w:ascii="Georgia" w:eastAsia="Georgia" w:hAnsi="Georgia" w:cs="Georgia"/>
          <w:color w:val="000000"/>
          <w:sz w:val="18"/>
          <w:szCs w:val="18"/>
        </w:rPr>
        <w:t>.</w:t>
      </w:r>
    </w:p>
  </w:endnote>
  <w:endnote w:id="10">
    <w:p w14:paraId="0F2B46B1" w14:textId="6AE47CDB"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School Nutrition Association, </w:t>
      </w:r>
      <w:hyperlink r:id="rId4" w:anchor="resources">
        <w:r>
          <w:rPr>
            <w:rFonts w:ascii="Georgia" w:eastAsia="Georgia" w:hAnsi="Georgia" w:cs="Georgia"/>
            <w:color w:val="0563C1"/>
            <w:sz w:val="18"/>
            <w:szCs w:val="18"/>
            <w:u w:val="single"/>
          </w:rPr>
          <w:t>https://schoolnutrition.org/about-school-meals/national-school-breakfast-week/#resources</w:t>
        </w:r>
      </w:hyperlink>
      <w:r>
        <w:rPr>
          <w:rFonts w:ascii="Georgia" w:eastAsia="Georgia" w:hAnsi="Georgia" w:cs="Georgia"/>
          <w:color w:val="000000"/>
          <w:sz w:val="18"/>
          <w:szCs w:val="18"/>
        </w:rPr>
        <w:t xml:space="preserve">. </w:t>
      </w:r>
      <w:r>
        <w:rPr>
          <w:rFonts w:ascii="Arial" w:eastAsia="Arial" w:hAnsi="Arial" w:cs="Arial"/>
          <w:color w:val="000000"/>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16AC" w14:textId="77777777" w:rsidR="00012D30" w:rsidRDefault="00012D30">
      <w:pPr>
        <w:spacing w:after="0" w:line="240" w:lineRule="auto"/>
      </w:pPr>
      <w:r>
        <w:separator/>
      </w:r>
    </w:p>
  </w:footnote>
  <w:footnote w:type="continuationSeparator" w:id="0">
    <w:p w14:paraId="3795FFE1" w14:textId="77777777" w:rsidR="00012D30" w:rsidRDefault="0001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8A42" w14:textId="77777777" w:rsidR="00117480"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6ACA049" wp14:editId="378DF333">
          <wp:extent cx="2609850" cy="71437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09850" cy="714375"/>
                  </a:xfrm>
                  <a:prstGeom prst="rect">
                    <a:avLst/>
                  </a:prstGeom>
                  <a:ln/>
                </pic:spPr>
              </pic:pic>
            </a:graphicData>
          </a:graphic>
        </wp:inline>
      </w:drawing>
    </w:r>
    <w:r>
      <w:rPr>
        <w:noProof/>
        <w:color w:val="000000"/>
      </w:rPr>
      <w:drawing>
        <wp:inline distT="0" distB="0" distL="0" distR="0" wp14:anchorId="5BB7CDD5" wp14:editId="35604A35">
          <wp:extent cx="2676525" cy="53340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676525" cy="533400"/>
                  </a:xfrm>
                  <a:prstGeom prst="rect">
                    <a:avLst/>
                  </a:prstGeom>
                  <a:ln/>
                </pic:spPr>
              </pic:pic>
            </a:graphicData>
          </a:graphic>
        </wp:inline>
      </w:drawing>
    </w:r>
  </w:p>
  <w:p w14:paraId="6A2BEAC1" w14:textId="77777777" w:rsidR="00117480" w:rsidRDefault="0011748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80"/>
    <w:rsid w:val="000038FD"/>
    <w:rsid w:val="00012D30"/>
    <w:rsid w:val="000F624C"/>
    <w:rsid w:val="00113D69"/>
    <w:rsid w:val="00117480"/>
    <w:rsid w:val="001215B0"/>
    <w:rsid w:val="001220B1"/>
    <w:rsid w:val="001F5442"/>
    <w:rsid w:val="0023317E"/>
    <w:rsid w:val="00283EBE"/>
    <w:rsid w:val="004A1738"/>
    <w:rsid w:val="006924A6"/>
    <w:rsid w:val="006D18BA"/>
    <w:rsid w:val="0072261F"/>
    <w:rsid w:val="00776184"/>
    <w:rsid w:val="0086102C"/>
    <w:rsid w:val="0092496E"/>
    <w:rsid w:val="009811BA"/>
    <w:rsid w:val="00A66CE2"/>
    <w:rsid w:val="00A75CF3"/>
    <w:rsid w:val="00AD4204"/>
    <w:rsid w:val="00B0684D"/>
    <w:rsid w:val="00B760EF"/>
    <w:rsid w:val="00BB03F6"/>
    <w:rsid w:val="00C06D3B"/>
    <w:rsid w:val="00CE7F01"/>
    <w:rsid w:val="00D65DBC"/>
    <w:rsid w:val="00D81979"/>
    <w:rsid w:val="00DB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2712"/>
  <w15:docId w15:val="{64069C0C-D828-4A7B-9FEA-08AD18F0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40F4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21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D8"/>
    <w:rPr>
      <w:rFonts w:ascii="Segoe UI" w:hAnsi="Segoe UI" w:cs="Segoe UI"/>
      <w:sz w:val="18"/>
      <w:szCs w:val="18"/>
    </w:rPr>
  </w:style>
  <w:style w:type="paragraph" w:styleId="FootnoteText">
    <w:name w:val="footnote text"/>
    <w:basedOn w:val="Normal"/>
    <w:link w:val="FootnoteTextChar"/>
    <w:uiPriority w:val="99"/>
    <w:semiHidden/>
    <w:unhideWhenUsed/>
    <w:rsid w:val="00E35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59A"/>
    <w:rPr>
      <w:sz w:val="20"/>
      <w:szCs w:val="20"/>
    </w:rPr>
  </w:style>
  <w:style w:type="character" w:styleId="FootnoteReference">
    <w:name w:val="footnote reference"/>
    <w:basedOn w:val="DefaultParagraphFont"/>
    <w:uiPriority w:val="99"/>
    <w:semiHidden/>
    <w:unhideWhenUsed/>
    <w:rsid w:val="00E3559A"/>
    <w:rPr>
      <w:vertAlign w:val="superscript"/>
    </w:rPr>
  </w:style>
  <w:style w:type="character" w:styleId="Hyperlink">
    <w:name w:val="Hyperlink"/>
    <w:basedOn w:val="DefaultParagraphFont"/>
    <w:uiPriority w:val="99"/>
    <w:unhideWhenUsed/>
    <w:rsid w:val="00E3559A"/>
    <w:rPr>
      <w:color w:val="0563C1" w:themeColor="hyperlink"/>
      <w:u w:val="single"/>
    </w:rPr>
  </w:style>
  <w:style w:type="character" w:styleId="UnresolvedMention">
    <w:name w:val="Unresolved Mention"/>
    <w:basedOn w:val="DefaultParagraphFont"/>
    <w:uiPriority w:val="99"/>
    <w:semiHidden/>
    <w:unhideWhenUsed/>
    <w:rsid w:val="00E3559A"/>
    <w:rPr>
      <w:color w:val="605E5C"/>
      <w:shd w:val="clear" w:color="auto" w:fill="E1DFDD"/>
    </w:rPr>
  </w:style>
  <w:style w:type="character" w:styleId="CommentReference">
    <w:name w:val="annotation reference"/>
    <w:basedOn w:val="DefaultParagraphFont"/>
    <w:uiPriority w:val="99"/>
    <w:semiHidden/>
    <w:unhideWhenUsed/>
    <w:rsid w:val="0088551E"/>
    <w:rPr>
      <w:sz w:val="16"/>
      <w:szCs w:val="16"/>
    </w:rPr>
  </w:style>
  <w:style w:type="paragraph" w:styleId="CommentText">
    <w:name w:val="annotation text"/>
    <w:basedOn w:val="Normal"/>
    <w:link w:val="CommentTextChar"/>
    <w:uiPriority w:val="99"/>
    <w:semiHidden/>
    <w:unhideWhenUsed/>
    <w:rsid w:val="0088551E"/>
    <w:pPr>
      <w:spacing w:line="240" w:lineRule="auto"/>
    </w:pPr>
    <w:rPr>
      <w:sz w:val="20"/>
      <w:szCs w:val="20"/>
    </w:rPr>
  </w:style>
  <w:style w:type="character" w:customStyle="1" w:styleId="CommentTextChar">
    <w:name w:val="Comment Text Char"/>
    <w:basedOn w:val="DefaultParagraphFont"/>
    <w:link w:val="CommentText"/>
    <w:uiPriority w:val="99"/>
    <w:semiHidden/>
    <w:rsid w:val="0088551E"/>
    <w:rPr>
      <w:sz w:val="20"/>
      <w:szCs w:val="20"/>
    </w:rPr>
  </w:style>
  <w:style w:type="paragraph" w:styleId="CommentSubject">
    <w:name w:val="annotation subject"/>
    <w:basedOn w:val="CommentText"/>
    <w:next w:val="CommentText"/>
    <w:link w:val="CommentSubjectChar"/>
    <w:uiPriority w:val="99"/>
    <w:semiHidden/>
    <w:unhideWhenUsed/>
    <w:rsid w:val="0088551E"/>
    <w:rPr>
      <w:b/>
      <w:bCs/>
    </w:rPr>
  </w:style>
  <w:style w:type="character" w:customStyle="1" w:styleId="CommentSubjectChar">
    <w:name w:val="Comment Subject Char"/>
    <w:basedOn w:val="CommentTextChar"/>
    <w:link w:val="CommentSubject"/>
    <w:uiPriority w:val="99"/>
    <w:semiHidden/>
    <w:rsid w:val="0088551E"/>
    <w:rPr>
      <w:b/>
      <w:bCs/>
      <w:sz w:val="20"/>
      <w:szCs w:val="20"/>
    </w:rPr>
  </w:style>
  <w:style w:type="paragraph" w:styleId="Header">
    <w:name w:val="header"/>
    <w:basedOn w:val="Normal"/>
    <w:link w:val="HeaderChar"/>
    <w:uiPriority w:val="99"/>
    <w:unhideWhenUsed/>
    <w:rsid w:val="0030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073"/>
  </w:style>
  <w:style w:type="paragraph" w:styleId="Footer">
    <w:name w:val="footer"/>
    <w:basedOn w:val="Normal"/>
    <w:link w:val="FooterChar"/>
    <w:uiPriority w:val="99"/>
    <w:unhideWhenUsed/>
    <w:rsid w:val="0030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0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9811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1BA"/>
    <w:rPr>
      <w:sz w:val="20"/>
      <w:szCs w:val="20"/>
    </w:rPr>
  </w:style>
  <w:style w:type="character" w:styleId="EndnoteReference">
    <w:name w:val="endnote reference"/>
    <w:basedOn w:val="DefaultParagraphFont"/>
    <w:uiPriority w:val="99"/>
    <w:semiHidden/>
    <w:unhideWhenUsed/>
    <w:rsid w:val="00981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nutrition.org/about-school-meals/national-school-breakfast-we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estpractices.nokidhungry.org/policy-and-advocacy/state-policy-advocacy?tab=state-legislation-dashboard" TargetMode="External"/><Relationship Id="rId4" Type="http://schemas.openxmlformats.org/officeDocument/2006/relationships/settings" Target="settings.xml"/><Relationship Id="rId9" Type="http://schemas.openxmlformats.org/officeDocument/2006/relationships/hyperlink" Target="https://bestpractices.nokidhungry.org/resource/national-school-breakfast-week-sample-mayoral-proclamation"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bestpractices.nokidhungry.org/programs/school-breakfast" TargetMode="External"/><Relationship Id="rId2" Type="http://schemas.openxmlformats.org/officeDocument/2006/relationships/hyperlink" Target="https://www.fns.usda.gov/pd/child-nutrition-tables" TargetMode="External"/><Relationship Id="rId1" Type="http://schemas.openxmlformats.org/officeDocument/2006/relationships/hyperlink" Target="https://www.ncbi.nlm.nih.gov/books/NBK597877/" TargetMode="External"/><Relationship Id="rId4" Type="http://schemas.openxmlformats.org/officeDocument/2006/relationships/hyperlink" Target="https://schoolnutrition.org/about-school-meals/national-school-breakfast-wee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MMKzrhS4c4/rIMp9Y0fwgx5jA==">CgMxLjAyCGguZ2pkZ3hzMgloLjMwajB6bGwyCWguMWZvYjl0ZTIJaC4zem55c2g3MgloLjJldDkycDA4AHIhMVJ2LXA4LUpadlp3TVB6NHFIVFB5emRfUXRNVDhQc1Zi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FAC1B2-4C35-47D5-89E7-6747F820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Moscetti, Craig</dc:creator>
  <cp:lastModifiedBy>Moscetti, Craig</cp:lastModifiedBy>
  <cp:revision>14</cp:revision>
  <dcterms:created xsi:type="dcterms:W3CDTF">2022-02-10T17:15:00Z</dcterms:created>
  <dcterms:modified xsi:type="dcterms:W3CDTF">2025-01-15T20:58:00Z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0x01010016A6D8AADF470541A1307B222510F973</vt:lpwstr>
  </property>
</Properties>
</file>